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143" w:rsidRPr="00894A9C" w:rsidRDefault="000E7F47">
      <w:pPr>
        <w:suppressAutoHyphens/>
        <w:spacing w:before="130" w:after="130" w:line="240" w:lineRule="auto"/>
        <w:jc w:val="center"/>
        <w:rPr>
          <w:sz w:val="24"/>
          <w:szCs w:val="24"/>
        </w:rPr>
      </w:pPr>
      <w:r w:rsidRPr="00894A9C">
        <w:rPr>
          <w:rFonts w:ascii="Helvetica" w:eastAsia="Helvetica" w:hAnsi="Helvetica" w:cs="Helvetica"/>
          <w:b/>
          <w:sz w:val="24"/>
          <w:szCs w:val="24"/>
        </w:rPr>
        <w:t>Ustawa</w:t>
      </w:r>
      <w:r w:rsidR="00894A9C" w:rsidRPr="00894A9C">
        <w:rPr>
          <w:rFonts w:ascii="Helvetica" w:eastAsia="Helvetica" w:hAnsi="Helvetica" w:cs="Helvetica"/>
          <w:b/>
          <w:sz w:val="24"/>
          <w:szCs w:val="24"/>
        </w:rPr>
        <w:t xml:space="preserve"> </w:t>
      </w:r>
      <w:r w:rsidR="00894A9C" w:rsidRPr="00894A9C">
        <w:rPr>
          <w:rFonts w:ascii="Helvetica" w:eastAsia="Helvetica" w:hAnsi="Helvetica" w:cs="Helvetica"/>
          <w:b/>
          <w:sz w:val="24"/>
          <w:szCs w:val="24"/>
        </w:rPr>
        <w:t xml:space="preserve">z dnia 6 grudnia 2006 r. </w:t>
      </w:r>
      <w:r w:rsidRPr="00894A9C">
        <w:rPr>
          <w:rFonts w:ascii="Helvetica" w:eastAsia="Helvetica" w:hAnsi="Helvetica" w:cs="Helvetica"/>
          <w:b/>
          <w:sz w:val="24"/>
          <w:szCs w:val="24"/>
        </w:rPr>
        <w:t>o zasadach prowadzenia polityki rozwoju</w:t>
      </w:r>
    </w:p>
    <w:p w:rsidR="00072143" w:rsidRPr="00894A9C" w:rsidRDefault="000E7F47">
      <w:pPr>
        <w:suppressAutoHyphens/>
        <w:spacing w:before="130" w:after="130" w:line="240" w:lineRule="auto"/>
        <w:jc w:val="center"/>
      </w:pPr>
      <w:r w:rsidRPr="00894A9C">
        <w:rPr>
          <w:rFonts w:ascii="Helvetica" w:eastAsia="Helvetica" w:hAnsi="Helvetica" w:cs="Helvetica"/>
          <w:b/>
          <w:sz w:val="18"/>
        </w:rPr>
        <w:t>tj. z dnia 11 maja 2023 r. (Dz.U. z 2023 r. poz. 1259)</w:t>
      </w:r>
    </w:p>
    <w:p w:rsidR="000E7F47" w:rsidRPr="00894A9C" w:rsidRDefault="000E7F47">
      <w:pPr>
        <w:suppressAutoHyphens/>
        <w:spacing w:before="130" w:after="130" w:line="240" w:lineRule="auto"/>
        <w:jc w:val="center"/>
        <w:rPr>
          <w:rFonts w:ascii="Helvetica" w:eastAsia="Helvetica" w:hAnsi="Helvetica" w:cs="Helvetica"/>
          <w:b/>
          <w:sz w:val="18"/>
        </w:rPr>
      </w:pPr>
    </w:p>
    <w:p w:rsidR="000E7F47" w:rsidRPr="00894A9C" w:rsidRDefault="00894A9C">
      <w:pPr>
        <w:suppressAutoHyphens/>
        <w:spacing w:before="130" w:after="130" w:line="240" w:lineRule="auto"/>
        <w:jc w:val="center"/>
        <w:rPr>
          <w:rFonts w:ascii="Helvetica" w:eastAsia="Helvetica" w:hAnsi="Helvetica" w:cs="Helvetica"/>
          <w:b/>
          <w:sz w:val="18"/>
        </w:rPr>
      </w:pPr>
      <w:r>
        <w:rPr>
          <w:rFonts w:ascii="Helvetica" w:eastAsia="Helvetica" w:hAnsi="Helvetica" w:cs="Helvetica"/>
          <w:b/>
          <w:sz w:val="18"/>
        </w:rPr>
        <w:t>fragment dotyczący art. 20a</w:t>
      </w:r>
      <w:bookmarkStart w:id="0" w:name="_GoBack"/>
      <w:bookmarkEnd w:id="0"/>
    </w:p>
    <w:p w:rsidR="000E7F47" w:rsidRDefault="000E7F47">
      <w:pPr>
        <w:suppressAutoHyphens/>
        <w:spacing w:before="130" w:after="130" w:line="240" w:lineRule="auto"/>
        <w:jc w:val="center"/>
        <w:rPr>
          <w:rFonts w:ascii="Helvetica" w:eastAsia="Helvetica" w:hAnsi="Helvetica" w:cs="Helvetica"/>
          <w:b/>
          <w:caps/>
          <w:sz w:val="18"/>
        </w:rPr>
      </w:pPr>
    </w:p>
    <w:p w:rsidR="00072143" w:rsidRDefault="000E7F47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caps/>
          <w:sz w:val="18"/>
        </w:rPr>
        <w:t>Rozdział 3. Programy operacyjne i programy rozwoju.</w:t>
      </w:r>
    </w:p>
    <w:p w:rsidR="00072143" w:rsidRDefault="000E7F4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Art. 20a [Finansowanie z dotacji celowych]</w:t>
      </w:r>
    </w:p>
    <w:p w:rsidR="00072143" w:rsidRDefault="000E7F4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Działania z zakresu polityki rozwoju, stanowiące zadania własne jednostek samorządu terytorialnego, nieujęte w regionalnym programie operacyjnym lub programie służącym realizacji umowy partnerstwa w zakresie polityki spójności, opracowanym przez zarząd województwa, mogą być finansowane z dotacji celowych budżetu państwa w przypadku, jeżeli działania te: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trwale przyczynią się do podniesienia rozwoju oraz konkurencyjności regionu, lub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pozostają w związku z działaniami realizowanymi w ramach regionalnego programu operacyjnego lub programu służącego realizacji umowy partnerstwa w zakresie polityki spójności, opracowanego przez zarząd województwa.</w:t>
      </w:r>
    </w:p>
    <w:p w:rsidR="00072143" w:rsidRDefault="000E7F4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Przekazanie dotacji celowej, o której mowa w ust. 1, odbywa się na podstawie umowy zawartej przez: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ministra właściwego do spraw rozwoju regionalnego, lub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właściwego ministra lub właściwego miejscowo wojewodę, po uzyskaniu pozytywnej opinii ministra właściwego do spraw rozwoju regionalnego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- z jednostkami samorządu terytorialnego, na zasadach określonych w przepisach o finansach publicznych.</w:t>
      </w:r>
    </w:p>
    <w:p w:rsidR="00072143" w:rsidRDefault="000E7F4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Art. 20b [Dotacje celowe]</w:t>
      </w:r>
    </w:p>
    <w:p w:rsidR="00072143" w:rsidRDefault="000E7F4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1. Jednostki sektora finansów publicznych, o których mowa w art. 9 pkt 2, 5, 10-14 ustawy z dnia 27 sierpnia 2009 r. o finansach publicznych (Dz.U. z 2021 r. poz. 305) mogą otrzymywać dotacje celowe z budżetu państwa na: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przedsięwzięcia priorytetowe, o których mowa w art. 14p ust. 1 pkt 3;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wydatki wynikające lub związane z realizacją programów operacyjnych oraz programów służących realizacji umowy partnerstwa.</w:t>
      </w:r>
    </w:p>
    <w:p w:rsidR="00072143" w:rsidRDefault="000E7F4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2. Przekazanie dotacji celowej, o której mowa w ust. 1, odbywa się na podstawie umowy zawartej przez: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ministra właściwego do spraw rozwoju regionalnego, lub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właściwego ministra lub właściwego miejscowo wojewodę, po uzyskaniu pozytywnej opinii ministra właściwego do spraw rozwoju regionalnego</w:t>
      </w:r>
    </w:p>
    <w:p w:rsidR="00072143" w:rsidRDefault="000E7F4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- z jednostkami sektora finansów publicznych, o których mowa w ust. 1, na zasadach określonych w przepisach o finansach publicznych.</w:t>
      </w:r>
    </w:p>
    <w:sectPr w:rsidR="00072143"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853" w:rsidRDefault="000E7F47">
      <w:pPr>
        <w:spacing w:after="0" w:line="240" w:lineRule="auto"/>
      </w:pPr>
      <w:r>
        <w:separator/>
      </w:r>
    </w:p>
  </w:endnote>
  <w:endnote w:type="continuationSeparator" w:id="0">
    <w:p w:rsidR="001A4853" w:rsidRDefault="000E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853" w:rsidRDefault="000E7F47">
      <w:pPr>
        <w:spacing w:after="0" w:line="240" w:lineRule="auto"/>
      </w:pPr>
      <w:r>
        <w:separator/>
      </w:r>
    </w:p>
  </w:footnote>
  <w:footnote w:type="continuationSeparator" w:id="0">
    <w:p w:rsidR="001A4853" w:rsidRDefault="000E7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43"/>
    <w:rsid w:val="00072143"/>
    <w:rsid w:val="000E7F47"/>
    <w:rsid w:val="001A4853"/>
    <w:rsid w:val="00894A9C"/>
    <w:rsid w:val="00A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5B8B"/>
  <w15:docId w15:val="{5F11E021-D39C-4BDC-9E52-9A2178B8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F47"/>
  </w:style>
  <w:style w:type="paragraph" w:styleId="Stopka">
    <w:name w:val="footer"/>
    <w:basedOn w:val="Normalny"/>
    <w:link w:val="StopkaZnak"/>
    <w:uiPriority w:val="99"/>
    <w:unhideWhenUsed/>
    <w:rsid w:val="000E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Wzorek, Robert</cp:lastModifiedBy>
  <cp:revision>4</cp:revision>
  <dcterms:created xsi:type="dcterms:W3CDTF">2023-12-07T10:09:00Z</dcterms:created>
  <dcterms:modified xsi:type="dcterms:W3CDTF">2023-12-07T10:52:00Z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